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D7" w:rsidRDefault="002140D7" w:rsidP="002140D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Законопроекти в сфері оподаткування та соціального страхування, підготовлені за участю експертів Реанімаційного пакету реформ:</w:t>
      </w:r>
    </w:p>
    <w:p w:rsidR="002140D7" w:rsidRPr="002140D7" w:rsidRDefault="002140D7" w:rsidP="002140D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140D7" w:rsidRPr="008B4B10" w:rsidRDefault="002140D7" w:rsidP="008B4B1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8B4B10">
        <w:rPr>
          <w:b/>
          <w:sz w:val="28"/>
          <w:szCs w:val="28"/>
          <w:lang w:val="uk-UA"/>
        </w:rPr>
        <w:t xml:space="preserve">Проект Закону України «Про внесення </w:t>
      </w:r>
      <w:r w:rsidRPr="002140D7">
        <w:rPr>
          <w:b/>
          <w:sz w:val="28"/>
          <w:szCs w:val="28"/>
          <w:lang w:val="uk-UA" w:eastAsia="uk-UA"/>
        </w:rPr>
        <w:t>змін до Податкового кодексу України (щодо трансфертного ціноутворення)</w:t>
      </w:r>
      <w:r w:rsidRPr="008B4B10">
        <w:rPr>
          <w:b/>
          <w:sz w:val="28"/>
          <w:szCs w:val="28"/>
          <w:lang w:val="uk-UA" w:eastAsia="uk-UA"/>
        </w:rPr>
        <w:t xml:space="preserve">», зареєстрований 27.01.2015 р. за № 1861: </w:t>
      </w:r>
    </w:p>
    <w:p w:rsidR="002140D7" w:rsidRDefault="002140D7" w:rsidP="0021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Pr="002B40F6">
        <w:rPr>
          <w:sz w:val="28"/>
          <w:szCs w:val="28"/>
          <w:lang w:val="uk-UA"/>
        </w:rPr>
        <w:t xml:space="preserve"> розроблено з метою удосконалення існуючої системи державного регулювання трансфертного ціноутворення, усунення суперечностей та конкретизації норм, які негативно впливають на забезпечення реалізації податкової політики з урахуванням міжнародного досвіду та оптимального поєднання фіскальної та регулюючої функції оподаткування</w:t>
      </w:r>
      <w:r>
        <w:rPr>
          <w:sz w:val="28"/>
          <w:szCs w:val="28"/>
          <w:lang w:val="uk-UA"/>
        </w:rPr>
        <w:t>, зокрема:</w:t>
      </w:r>
    </w:p>
    <w:p w:rsidR="002140D7" w:rsidRDefault="002140D7" w:rsidP="0021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B40F6">
        <w:rPr>
          <w:sz w:val="28"/>
          <w:szCs w:val="28"/>
          <w:lang w:val="uk-UA"/>
        </w:rPr>
        <w:t>вдосконалення визначення «пов’язані особи», зокрема в частині порядку підрахунку суми часток корпоративних прав за рахунок збільшення частки володіння особи в наступній юридичній особі в ланцюгу до 50%, оскільки частка володіння корпоративними правами в розмірі 20% в кожній наступній юридичній особі не передбачає фактичної можливості платника податків впливати на рішення осіб у ланцюгу</w:t>
      </w:r>
      <w:r>
        <w:rPr>
          <w:sz w:val="28"/>
          <w:szCs w:val="28"/>
          <w:lang w:val="uk-UA"/>
        </w:rPr>
        <w:t>;</w:t>
      </w:r>
    </w:p>
    <w:p w:rsidR="002140D7" w:rsidRDefault="002140D7" w:rsidP="0021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B40F6">
        <w:rPr>
          <w:sz w:val="28"/>
          <w:szCs w:val="28"/>
          <w:lang w:val="uk-UA"/>
        </w:rPr>
        <w:t xml:space="preserve">збільшення </w:t>
      </w:r>
      <w:proofErr w:type="spellStart"/>
      <w:r w:rsidRPr="002B40F6">
        <w:rPr>
          <w:sz w:val="28"/>
          <w:szCs w:val="28"/>
          <w:lang w:val="uk-UA"/>
        </w:rPr>
        <w:t>порогових</w:t>
      </w:r>
      <w:proofErr w:type="spellEnd"/>
      <w:r w:rsidRPr="002B40F6">
        <w:rPr>
          <w:sz w:val="28"/>
          <w:szCs w:val="28"/>
          <w:lang w:val="uk-UA"/>
        </w:rPr>
        <w:t xml:space="preserve"> показників для визнання операції контрольованою та виключення доходів пов’язаних осіб при розрахунку загального обсягу доходу платника податків</w:t>
      </w:r>
      <w:r>
        <w:rPr>
          <w:sz w:val="28"/>
          <w:szCs w:val="28"/>
          <w:lang w:val="uk-UA"/>
        </w:rPr>
        <w:t xml:space="preserve">; </w:t>
      </w:r>
    </w:p>
    <w:p w:rsidR="002140D7" w:rsidRDefault="002140D7" w:rsidP="0021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B40F6">
        <w:rPr>
          <w:sz w:val="28"/>
          <w:szCs w:val="28"/>
          <w:lang w:val="uk-UA"/>
        </w:rPr>
        <w:t>зменшення штрафу за недекларування операцій та встановлення максимального рівня за відповідний звітний період</w:t>
      </w:r>
      <w:r>
        <w:rPr>
          <w:sz w:val="28"/>
          <w:szCs w:val="28"/>
          <w:lang w:val="uk-UA"/>
        </w:rPr>
        <w:t>.</w:t>
      </w:r>
    </w:p>
    <w:p w:rsidR="008B4B10" w:rsidRPr="002B40F6" w:rsidRDefault="008B4B10" w:rsidP="0021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4B10" w:rsidRPr="008B4B10" w:rsidRDefault="002140D7" w:rsidP="008B4B1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10">
        <w:rPr>
          <w:rFonts w:ascii="Times New Roman" w:hAnsi="Times New Roman" w:cs="Times New Roman"/>
          <w:b/>
          <w:sz w:val="28"/>
          <w:szCs w:val="28"/>
        </w:rPr>
        <w:t>Проект Закону України «П</w:t>
      </w:r>
      <w:r w:rsidRPr="002140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внесення змін до деяких законодавчих актів України щодо відміни посилення фіскального та адміністративного тиску на доходи фізичних осіб</w:t>
      </w:r>
      <w:r w:rsidRPr="008B4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», зареєстрований 29.01.2015 р. </w:t>
      </w:r>
      <w:r w:rsidR="008B4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Pr="008B4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1877:</w:t>
      </w:r>
    </w:p>
    <w:p w:rsidR="008B4B10" w:rsidRPr="008B4B10" w:rsidRDefault="008B4B10" w:rsidP="008B4B1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B4B10">
        <w:rPr>
          <w:rFonts w:ascii="Times New Roman" w:hAnsi="Times New Roman" w:cs="Times New Roman"/>
          <w:sz w:val="28"/>
          <w:szCs w:val="28"/>
        </w:rPr>
        <w:t xml:space="preserve">Ціллю цього законопроекту є відміна посилення фіскального та адміністративного тиску на доходи фізичних осіб для попередження </w:t>
      </w:r>
      <w:proofErr w:type="spellStart"/>
      <w:r w:rsidRPr="008B4B10">
        <w:rPr>
          <w:rFonts w:ascii="Times New Roman" w:hAnsi="Times New Roman" w:cs="Times New Roman"/>
          <w:sz w:val="28"/>
          <w:szCs w:val="28"/>
        </w:rPr>
        <w:t>тінізації</w:t>
      </w:r>
      <w:proofErr w:type="spellEnd"/>
      <w:r w:rsidRPr="008B4B10">
        <w:rPr>
          <w:rFonts w:ascii="Times New Roman" w:hAnsi="Times New Roman" w:cs="Times New Roman"/>
          <w:sz w:val="28"/>
          <w:szCs w:val="28"/>
        </w:rPr>
        <w:t xml:space="preserve"> робочих місць, закриття суб’єктів підприємницької діяльності, скасування жорстких фінансових санкцій за порушення законодавства про оплату праці та у сфері трудових відносин, що за відсутності сьогодні прозорих та економічно доцільних підстав для легалізації трудових відносин та </w:t>
      </w:r>
      <w:proofErr w:type="spellStart"/>
      <w:r w:rsidRPr="008B4B10">
        <w:rPr>
          <w:rFonts w:ascii="Times New Roman" w:hAnsi="Times New Roman" w:cs="Times New Roman"/>
          <w:sz w:val="28"/>
          <w:szCs w:val="28"/>
        </w:rPr>
        <w:t>детінізації</w:t>
      </w:r>
      <w:proofErr w:type="spellEnd"/>
      <w:r w:rsidRPr="008B4B10">
        <w:rPr>
          <w:rFonts w:ascii="Times New Roman" w:hAnsi="Times New Roman" w:cs="Times New Roman"/>
          <w:sz w:val="28"/>
          <w:szCs w:val="28"/>
        </w:rPr>
        <w:t xml:space="preserve"> заробітної плати не матимуть очікуваного економічного ефекту, а навпаки погіршать економічну ситуацію в Україні та підвищать соціальну напругу в суспільстві.</w:t>
      </w:r>
    </w:p>
    <w:p w:rsidR="002140D7" w:rsidRPr="002140D7" w:rsidRDefault="002140D7" w:rsidP="002140D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40D7" w:rsidRPr="008B4B10" w:rsidRDefault="008B4B10" w:rsidP="002140D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10">
        <w:rPr>
          <w:rFonts w:ascii="Times New Roman" w:hAnsi="Times New Roman" w:cs="Times New Roman"/>
          <w:b/>
          <w:sz w:val="28"/>
          <w:szCs w:val="28"/>
        </w:rPr>
        <w:t xml:space="preserve">Проект Закону України «Про </w:t>
      </w:r>
      <w:r w:rsidRPr="008B4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внесення змін до Податкового кодексу України та деяких законодавчих актів України щодо удосконалення окремих положень», зареєстрований 02.02.2015 р. за № 1918:</w:t>
      </w:r>
    </w:p>
    <w:p w:rsidR="008B4B10" w:rsidRDefault="008B4B10" w:rsidP="008B4B10">
      <w:pPr>
        <w:pStyle w:val="2"/>
        <w:spacing w:after="120" w:line="276" w:lineRule="auto"/>
        <w:ind w:firstLine="0"/>
        <w:jc w:val="both"/>
      </w:pPr>
      <w:r>
        <w:lastRenderedPageBreak/>
        <w:tab/>
        <w:t>Основним завданням законопроекту є вдосконалення системи оподаткування з метою забезпечення балансу інтересів держави та бізнесу, паритетності прав контролюючих органів та платників податків, створення більш прозорих механізмів адміністрування податків і зборів.</w:t>
      </w:r>
    </w:p>
    <w:p w:rsidR="008B4B10" w:rsidRPr="008B4B10" w:rsidRDefault="008B4B10" w:rsidP="008B4B10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B4B10">
        <w:rPr>
          <w:rFonts w:ascii="Times New Roman" w:hAnsi="Times New Roman" w:cs="Times New Roman"/>
          <w:sz w:val="28"/>
          <w:szCs w:val="28"/>
        </w:rPr>
        <w:t>Основним механізмом реалізації мети законопроекту є спрощення та уточнення процедур адміністрування податків, які направлені на унеможливлення вільного застосування норм Податкового кодексу України, скасування підстав для їх неоднозначного тлумачення, виникнення конфліктів між платниками по</w:t>
      </w:r>
      <w:r w:rsidR="00F36656">
        <w:rPr>
          <w:rFonts w:ascii="Times New Roman" w:hAnsi="Times New Roman" w:cs="Times New Roman"/>
          <w:sz w:val="28"/>
          <w:szCs w:val="28"/>
        </w:rPr>
        <w:t>датків і контролюючими органами, зокрема:</w:t>
      </w:r>
    </w:p>
    <w:p w:rsidR="008B4B10" w:rsidRPr="00F36656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виключ</w:t>
      </w:r>
      <w:r w:rsidR="00F36656" w:rsidRPr="00F36656">
        <w:rPr>
          <w:rFonts w:ascii="Times New Roman" w:hAnsi="Times New Roman" w:cs="Times New Roman"/>
          <w:sz w:val="28"/>
          <w:szCs w:val="28"/>
        </w:rPr>
        <w:t>ення</w:t>
      </w:r>
      <w:r w:rsidRPr="00F36656">
        <w:rPr>
          <w:rFonts w:ascii="Times New Roman" w:hAnsi="Times New Roman" w:cs="Times New Roman"/>
          <w:sz w:val="28"/>
          <w:szCs w:val="28"/>
        </w:rPr>
        <w:t xml:space="preserve"> норм Податкового кодексу України, що дублюють одна одну</w:t>
      </w:r>
      <w:r w:rsidR="00F36656">
        <w:rPr>
          <w:rFonts w:ascii="Times New Roman" w:hAnsi="Times New Roman" w:cs="Times New Roman"/>
          <w:sz w:val="28"/>
          <w:szCs w:val="28"/>
        </w:rPr>
        <w:t xml:space="preserve"> або містять посилання на неіснуючі норми</w:t>
      </w:r>
      <w:r w:rsidRPr="00F36656">
        <w:rPr>
          <w:rFonts w:ascii="Times New Roman" w:hAnsi="Times New Roman" w:cs="Times New Roman"/>
          <w:sz w:val="28"/>
          <w:szCs w:val="28"/>
        </w:rPr>
        <w:t>;</w:t>
      </w:r>
    </w:p>
    <w:p w:rsidR="008B4B10" w:rsidRPr="00F36656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встанов</w:t>
      </w:r>
      <w:r w:rsidR="00F36656" w:rsidRPr="00F36656">
        <w:rPr>
          <w:rFonts w:ascii="Times New Roman" w:hAnsi="Times New Roman" w:cs="Times New Roman"/>
          <w:sz w:val="28"/>
          <w:szCs w:val="28"/>
        </w:rPr>
        <w:t>лення</w:t>
      </w:r>
      <w:r w:rsidRPr="00F36656">
        <w:rPr>
          <w:rFonts w:ascii="Times New Roman" w:hAnsi="Times New Roman" w:cs="Times New Roman"/>
          <w:sz w:val="28"/>
          <w:szCs w:val="28"/>
        </w:rPr>
        <w:t xml:space="preserve"> більш справедлив</w:t>
      </w:r>
      <w:r w:rsidR="00F36656" w:rsidRPr="00F36656">
        <w:rPr>
          <w:rFonts w:ascii="Times New Roman" w:hAnsi="Times New Roman" w:cs="Times New Roman"/>
          <w:sz w:val="28"/>
          <w:szCs w:val="28"/>
        </w:rPr>
        <w:t>ого</w:t>
      </w:r>
      <w:r w:rsidRPr="00F36656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F36656" w:rsidRPr="00F36656">
        <w:rPr>
          <w:rFonts w:ascii="Times New Roman" w:hAnsi="Times New Roman" w:cs="Times New Roman"/>
          <w:sz w:val="28"/>
          <w:szCs w:val="28"/>
        </w:rPr>
        <w:t>у</w:t>
      </w:r>
      <w:r w:rsidRPr="00F36656">
        <w:rPr>
          <w:rFonts w:ascii="Times New Roman" w:hAnsi="Times New Roman" w:cs="Times New Roman"/>
          <w:sz w:val="28"/>
          <w:szCs w:val="28"/>
        </w:rPr>
        <w:t>, передбачен</w:t>
      </w:r>
      <w:r w:rsidR="00F36656" w:rsidRPr="00F36656">
        <w:rPr>
          <w:rFonts w:ascii="Times New Roman" w:hAnsi="Times New Roman" w:cs="Times New Roman"/>
          <w:sz w:val="28"/>
          <w:szCs w:val="28"/>
        </w:rPr>
        <w:t>ого</w:t>
      </w:r>
      <w:r w:rsidRPr="00F36656">
        <w:rPr>
          <w:rFonts w:ascii="Times New Roman" w:hAnsi="Times New Roman" w:cs="Times New Roman"/>
          <w:sz w:val="28"/>
          <w:szCs w:val="28"/>
        </w:rPr>
        <w:t xml:space="preserve"> нормами Податкового кодексу України, що діяли до 1 січня 2015 року, відносно сплати платниками податку на прибуток авансових внесків;</w:t>
      </w:r>
    </w:p>
    <w:p w:rsidR="008B4B10" w:rsidRPr="00F36656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перенесення дати запровадження системи електронного адміністрування податку на додану вартість на 1 лютого 2015 року;</w:t>
      </w:r>
    </w:p>
    <w:p w:rsidR="008B4B10" w:rsidRPr="00F36656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перегляд механізму застосування штрафів за несвоєчасну реєстрацію податкових накладних</w:t>
      </w:r>
      <w:r w:rsidR="00F36656" w:rsidRPr="00F36656">
        <w:rPr>
          <w:rFonts w:ascii="Times New Roman" w:hAnsi="Times New Roman" w:cs="Times New Roman"/>
          <w:sz w:val="28"/>
          <w:szCs w:val="28"/>
        </w:rPr>
        <w:t xml:space="preserve"> </w:t>
      </w:r>
      <w:r w:rsidR="00F36656">
        <w:rPr>
          <w:rFonts w:ascii="Times New Roman" w:hAnsi="Times New Roman" w:cs="Times New Roman"/>
          <w:sz w:val="28"/>
          <w:szCs w:val="28"/>
        </w:rPr>
        <w:t xml:space="preserve">та </w:t>
      </w:r>
      <w:r w:rsidR="00F36656" w:rsidRPr="00F36656">
        <w:rPr>
          <w:rFonts w:ascii="Times New Roman" w:hAnsi="Times New Roman" w:cs="Times New Roman"/>
          <w:sz w:val="28"/>
          <w:szCs w:val="28"/>
        </w:rPr>
        <w:t>збільшення граничного строку отримання та реєстрації податкових накладних</w:t>
      </w:r>
      <w:r w:rsidRPr="00F36656">
        <w:rPr>
          <w:rFonts w:ascii="Times New Roman" w:hAnsi="Times New Roman" w:cs="Times New Roman"/>
          <w:sz w:val="28"/>
          <w:szCs w:val="28"/>
        </w:rPr>
        <w:t>;</w:t>
      </w:r>
    </w:p>
    <w:p w:rsidR="008B4B10" w:rsidRPr="00F36656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уточнення переліку витрат, на які дозволяється зменшувати доходи, отримані фізичними особами – підприємцями, що працюють на загальній системі оподаткування;</w:t>
      </w:r>
    </w:p>
    <w:p w:rsidR="008B4B10" w:rsidRDefault="008B4B10" w:rsidP="008B4B1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6656">
        <w:rPr>
          <w:rFonts w:ascii="Times New Roman" w:hAnsi="Times New Roman" w:cs="Times New Roman"/>
          <w:sz w:val="28"/>
          <w:szCs w:val="28"/>
        </w:rPr>
        <w:t>визначен</w:t>
      </w:r>
      <w:r w:rsidR="00F36656" w:rsidRPr="00F36656">
        <w:rPr>
          <w:rFonts w:ascii="Times New Roman" w:hAnsi="Times New Roman" w:cs="Times New Roman"/>
          <w:sz w:val="28"/>
          <w:szCs w:val="28"/>
        </w:rPr>
        <w:t>ня порядку</w:t>
      </w:r>
      <w:r w:rsidRPr="00F36656">
        <w:rPr>
          <w:rFonts w:ascii="Times New Roman" w:hAnsi="Times New Roman" w:cs="Times New Roman"/>
          <w:sz w:val="28"/>
          <w:szCs w:val="28"/>
        </w:rPr>
        <w:t xml:space="preserve"> використання пільгового режиму оподаткування податком на додану вартість операцій постачання відходів та брухту чорних та кольорових металів до моменту затвердження Кабінетом Міністрів України нового Переліку таких відход</w:t>
      </w:r>
      <w:r w:rsidR="00F36656">
        <w:rPr>
          <w:rFonts w:ascii="Times New Roman" w:hAnsi="Times New Roman" w:cs="Times New Roman"/>
          <w:sz w:val="28"/>
          <w:szCs w:val="28"/>
        </w:rPr>
        <w:t>ів та брухту.</w:t>
      </w:r>
    </w:p>
    <w:p w:rsidR="00F36656" w:rsidRPr="00F36656" w:rsidRDefault="00F36656" w:rsidP="00F36656">
      <w:pPr>
        <w:spacing w:after="120"/>
        <w:ind w:left="1063"/>
        <w:jc w:val="both"/>
        <w:rPr>
          <w:rFonts w:ascii="Times New Roman" w:hAnsi="Times New Roman" w:cs="Times New Roman"/>
          <w:sz w:val="28"/>
          <w:szCs w:val="28"/>
        </w:rPr>
      </w:pPr>
    </w:p>
    <w:p w:rsidR="00F36656" w:rsidRDefault="00F36656" w:rsidP="00F3665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Закону України «</w:t>
      </w:r>
      <w:r w:rsidRPr="00F36656">
        <w:rPr>
          <w:rFonts w:ascii="Times New Roman" w:hAnsi="Times New Roman" w:cs="Times New Roman"/>
          <w:b/>
          <w:sz w:val="28"/>
          <w:szCs w:val="28"/>
        </w:rPr>
        <w:t>П</w:t>
      </w:r>
      <w:r w:rsidRPr="00F366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внесення змін до Податкового кодексу України (щодо оподаткування неприбуткових організацій)»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зареєстрований 05.02.2015 р. за № 2049:</w:t>
      </w:r>
    </w:p>
    <w:p w:rsidR="00F36656" w:rsidRDefault="00F36656" w:rsidP="00F36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00">
        <w:rPr>
          <w:rFonts w:ascii="Times New Roman" w:hAnsi="Times New Roman"/>
          <w:sz w:val="28"/>
          <w:szCs w:val="28"/>
        </w:rPr>
        <w:t>Метою прийняття зазначеного проекту є відновлення переліку організацій, які не є платниками податку на прибуток, відповідно до попередньої редакції Податкового кодексу України, скасування дискримінаційних податкових умов щодо господарської діяльності неприбуткових організацій</w:t>
      </w:r>
      <w:r>
        <w:rPr>
          <w:rFonts w:ascii="Times New Roman" w:hAnsi="Times New Roman"/>
          <w:sz w:val="28"/>
          <w:szCs w:val="28"/>
        </w:rPr>
        <w:t>,</w:t>
      </w:r>
      <w:r w:rsidRPr="00820C00">
        <w:rPr>
          <w:rFonts w:ascii="Times New Roman" w:hAnsi="Times New Roman"/>
          <w:sz w:val="28"/>
          <w:szCs w:val="28"/>
        </w:rPr>
        <w:t xml:space="preserve"> зменш</w:t>
      </w:r>
      <w:r>
        <w:rPr>
          <w:rFonts w:ascii="Times New Roman" w:hAnsi="Times New Roman"/>
          <w:sz w:val="28"/>
          <w:szCs w:val="28"/>
        </w:rPr>
        <w:t>ення</w:t>
      </w:r>
      <w:r w:rsidRPr="00820C00">
        <w:rPr>
          <w:rFonts w:ascii="Times New Roman" w:hAnsi="Times New Roman"/>
          <w:sz w:val="28"/>
          <w:szCs w:val="28"/>
        </w:rPr>
        <w:t xml:space="preserve"> податков</w:t>
      </w:r>
      <w:r>
        <w:rPr>
          <w:rFonts w:ascii="Times New Roman" w:hAnsi="Times New Roman"/>
          <w:sz w:val="28"/>
          <w:szCs w:val="28"/>
        </w:rPr>
        <w:t>ого</w:t>
      </w:r>
      <w:r w:rsidRPr="00820C00">
        <w:rPr>
          <w:rFonts w:ascii="Times New Roman" w:hAnsi="Times New Roman"/>
          <w:sz w:val="28"/>
          <w:szCs w:val="28"/>
        </w:rPr>
        <w:t xml:space="preserve"> навантаження на благодійну допомогу до рівня 2014 року</w:t>
      </w:r>
      <w:r>
        <w:rPr>
          <w:rFonts w:ascii="Times New Roman" w:hAnsi="Times New Roman"/>
          <w:sz w:val="28"/>
          <w:szCs w:val="28"/>
        </w:rPr>
        <w:t>,</w:t>
      </w:r>
      <w:r w:rsidRPr="00820C00">
        <w:rPr>
          <w:rFonts w:ascii="Times New Roman" w:hAnsi="Times New Roman"/>
          <w:sz w:val="28"/>
          <w:szCs w:val="28"/>
        </w:rPr>
        <w:t xml:space="preserve"> а також ус</w:t>
      </w:r>
      <w:r>
        <w:rPr>
          <w:rFonts w:ascii="Times New Roman" w:hAnsi="Times New Roman"/>
          <w:sz w:val="28"/>
          <w:szCs w:val="28"/>
        </w:rPr>
        <w:t>у</w:t>
      </w:r>
      <w:r w:rsidRPr="00820C0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ення</w:t>
      </w:r>
      <w:r w:rsidRPr="00820C00">
        <w:rPr>
          <w:rFonts w:ascii="Times New Roman" w:hAnsi="Times New Roman"/>
          <w:sz w:val="28"/>
          <w:szCs w:val="28"/>
        </w:rPr>
        <w:t xml:space="preserve"> неточност</w:t>
      </w:r>
      <w:r>
        <w:rPr>
          <w:rFonts w:ascii="Times New Roman" w:hAnsi="Times New Roman"/>
          <w:sz w:val="28"/>
          <w:szCs w:val="28"/>
        </w:rPr>
        <w:t>ей</w:t>
      </w:r>
      <w:r w:rsidRPr="00820C00">
        <w:rPr>
          <w:rFonts w:ascii="Times New Roman" w:hAnsi="Times New Roman"/>
          <w:sz w:val="28"/>
          <w:szCs w:val="28"/>
        </w:rPr>
        <w:t xml:space="preserve"> у правовому регулюванні режиму неприбутковості, які виникли в 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00">
        <w:rPr>
          <w:rFonts w:ascii="Times New Roman" w:hAnsi="Times New Roman"/>
          <w:sz w:val="28"/>
          <w:szCs w:val="28"/>
        </w:rPr>
        <w:lastRenderedPageBreak/>
        <w:t xml:space="preserve">внесення змін до Податкового кодексу України </w:t>
      </w:r>
      <w:r>
        <w:rPr>
          <w:rFonts w:ascii="Times New Roman" w:hAnsi="Times New Roman"/>
          <w:sz w:val="28"/>
          <w:szCs w:val="28"/>
        </w:rPr>
        <w:t>Законом України «</w:t>
      </w:r>
      <w:r w:rsidRPr="00820C00">
        <w:rPr>
          <w:rStyle w:val="rvts23"/>
          <w:rFonts w:ascii="Times New Roman" w:hAnsi="Times New Roman"/>
          <w:sz w:val="28"/>
          <w:szCs w:val="28"/>
        </w:rPr>
        <w:t>Про внесення змін до Податкового кодексу України та деяких законодавчих актів України щодо податкової реформи</w:t>
      </w:r>
      <w:r w:rsidRPr="00820C00">
        <w:rPr>
          <w:rFonts w:ascii="Times New Roman" w:hAnsi="Times New Roman"/>
          <w:sz w:val="28"/>
          <w:szCs w:val="28"/>
        </w:rPr>
        <w:t xml:space="preserve">» від 28.12.2014 року. </w:t>
      </w:r>
    </w:p>
    <w:p w:rsidR="00C47E4B" w:rsidRDefault="00C47E4B" w:rsidP="00F36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E4B" w:rsidRPr="00C47E4B" w:rsidRDefault="00C47E4B" w:rsidP="00C47E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Закону України «Про внесення </w:t>
      </w:r>
      <w:r w:rsidRPr="00C47E4B">
        <w:rPr>
          <w:rFonts w:ascii="Times New Roman" w:hAnsi="Times New Roman" w:cs="Times New Roman"/>
          <w:b/>
          <w:sz w:val="28"/>
          <w:szCs w:val="28"/>
        </w:rPr>
        <w:t>змін д</w:t>
      </w:r>
      <w:r w:rsidRPr="00C4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розділу VIІІ "Прикінцеві та перехідні положення" Закону України "Про збір та облік єдиного внеску на загальнообов'язкове державне соціальне страхування" (щодо зменшення навантаження на фонд оплати праці)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зареєстрований 27.01.2015 р. № 1863:</w:t>
      </w:r>
    </w:p>
    <w:p w:rsidR="00C47E4B" w:rsidRDefault="00C47E4B" w:rsidP="00C47E4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47E4B" w:rsidRPr="00821CE1" w:rsidRDefault="00C47E4B" w:rsidP="00C47E4B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E1">
        <w:rPr>
          <w:rFonts w:ascii="Times New Roman" w:hAnsi="Times New Roman" w:cs="Times New Roman"/>
          <w:sz w:val="28"/>
          <w:szCs w:val="28"/>
        </w:rPr>
        <w:t xml:space="preserve">Законопроектом пропонується запровадити коефіцієнт 0,4 до розміру єдиного внеску у 2015 році, та коефіцієнт 0,6 до розміру єдиного внеску у 2016 році. Таким чином роботодавець отримає змогу легально сплачувати заробітну плату, винагороду за цивільно-правовими договорами, оплату допомоги по тимчасовій непрацездатності та допомоги у зв’язку з вагітністю та пологам. Крім цього, законопроект передбачає скасування додаткових </w:t>
      </w:r>
      <w:r w:rsidR="00821CE1" w:rsidRPr="00821CE1">
        <w:rPr>
          <w:rFonts w:ascii="Times New Roman" w:hAnsi="Times New Roman" w:cs="Times New Roman"/>
          <w:sz w:val="28"/>
          <w:szCs w:val="28"/>
        </w:rPr>
        <w:t>умов</w:t>
      </w:r>
      <w:r w:rsidRPr="00821CE1">
        <w:rPr>
          <w:rFonts w:ascii="Times New Roman" w:hAnsi="Times New Roman" w:cs="Times New Roman"/>
          <w:sz w:val="28"/>
          <w:szCs w:val="28"/>
        </w:rPr>
        <w:t xml:space="preserve">, </w:t>
      </w:r>
      <w:r w:rsidR="00821CE1" w:rsidRPr="00821CE1">
        <w:rPr>
          <w:rFonts w:ascii="Times New Roman" w:hAnsi="Times New Roman" w:cs="Times New Roman"/>
          <w:sz w:val="28"/>
          <w:szCs w:val="28"/>
        </w:rPr>
        <w:t>передбаченим чинними нормами законодавства (700 грн. розміру ЄСВ, 3 розміру мінімальних заробітних плат тощо).</w:t>
      </w:r>
    </w:p>
    <w:p w:rsidR="00C47E4B" w:rsidRPr="00821CE1" w:rsidRDefault="00C47E4B" w:rsidP="00C47E4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7E4B" w:rsidRPr="00821CE1" w:rsidSect="0012332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CB" w:rsidRDefault="009415CB" w:rsidP="00F36656">
      <w:pPr>
        <w:spacing w:after="0" w:line="240" w:lineRule="auto"/>
      </w:pPr>
      <w:r>
        <w:separator/>
      </w:r>
    </w:p>
  </w:endnote>
  <w:endnote w:type="continuationSeparator" w:id="0">
    <w:p w:rsidR="009415CB" w:rsidRDefault="009415CB" w:rsidP="00F3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978"/>
      <w:docPartObj>
        <w:docPartGallery w:val="Page Numbers (Bottom of Page)"/>
        <w:docPartUnique/>
      </w:docPartObj>
    </w:sdtPr>
    <w:sdtContent>
      <w:p w:rsidR="00F36656" w:rsidRDefault="00F36656">
        <w:pPr>
          <w:pStyle w:val="a8"/>
          <w:jc w:val="right"/>
        </w:pPr>
        <w:fldSimple w:instr=" PAGE   \* MERGEFORMAT ">
          <w:r w:rsidR="00821CE1">
            <w:rPr>
              <w:noProof/>
            </w:rPr>
            <w:t>3</w:t>
          </w:r>
        </w:fldSimple>
      </w:p>
    </w:sdtContent>
  </w:sdt>
  <w:p w:rsidR="00F36656" w:rsidRDefault="00F366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CB" w:rsidRDefault="009415CB" w:rsidP="00F36656">
      <w:pPr>
        <w:spacing w:after="0" w:line="240" w:lineRule="auto"/>
      </w:pPr>
      <w:r>
        <w:separator/>
      </w:r>
    </w:p>
  </w:footnote>
  <w:footnote w:type="continuationSeparator" w:id="0">
    <w:p w:rsidR="009415CB" w:rsidRDefault="009415CB" w:rsidP="00F3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C64"/>
    <w:multiLevelType w:val="hybridMultilevel"/>
    <w:tmpl w:val="1B58713A"/>
    <w:lvl w:ilvl="0" w:tplc="F7CA8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47B8C"/>
    <w:multiLevelType w:val="hybridMultilevel"/>
    <w:tmpl w:val="C0DEA942"/>
    <w:lvl w:ilvl="0" w:tplc="27CAEA22">
      <w:start w:val="3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D7"/>
    <w:rsid w:val="0012332B"/>
    <w:rsid w:val="002140D7"/>
    <w:rsid w:val="00821CE1"/>
    <w:rsid w:val="008B4B10"/>
    <w:rsid w:val="009415CB"/>
    <w:rsid w:val="00C47E4B"/>
    <w:rsid w:val="00F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1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140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40D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B4B10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4B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3">
    <w:name w:val="rvts23"/>
    <w:basedOn w:val="a0"/>
    <w:uiPriority w:val="99"/>
    <w:rsid w:val="00F36656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F3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656"/>
  </w:style>
  <w:style w:type="paragraph" w:styleId="a8">
    <w:name w:val="footer"/>
    <w:basedOn w:val="a"/>
    <w:link w:val="a9"/>
    <w:uiPriority w:val="99"/>
    <w:unhideWhenUsed/>
    <w:rsid w:val="00F3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656"/>
  </w:style>
  <w:style w:type="paragraph" w:styleId="aa">
    <w:name w:val="Body Text"/>
    <w:basedOn w:val="a"/>
    <w:link w:val="ab"/>
    <w:uiPriority w:val="99"/>
    <w:semiHidden/>
    <w:unhideWhenUsed/>
    <w:rsid w:val="00C47E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Финклуб</dc:creator>
  <cp:keywords/>
  <dc:description/>
  <cp:lastModifiedBy>Финклуб</cp:lastModifiedBy>
  <cp:revision>3</cp:revision>
  <dcterms:created xsi:type="dcterms:W3CDTF">2015-02-06T10:57:00Z</dcterms:created>
  <dcterms:modified xsi:type="dcterms:W3CDTF">2015-02-06T11:28:00Z</dcterms:modified>
</cp:coreProperties>
</file>